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page" w:tblpX="1804" w:tblpY="206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884"/>
        <w:gridCol w:w="4602"/>
      </w:tblGrid>
      <w:tr w:rsidR="003C60FE" w:rsidRPr="001272F8" w:rsidTr="003C60FE">
        <w:trPr>
          <w:trHeight w:val="1721"/>
        </w:trPr>
        <w:tc>
          <w:tcPr>
            <w:tcW w:w="4219" w:type="dxa"/>
          </w:tcPr>
          <w:p w:rsidR="003C60FE" w:rsidRDefault="003C60FE" w:rsidP="003C60F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СХВАЛЕНО </w:t>
            </w:r>
          </w:p>
          <w:p w:rsidR="003C60FE" w:rsidRDefault="003C60FE" w:rsidP="00E310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засіданні педагогічної ради  протокол від </w:t>
            </w:r>
            <w:r w:rsidR="00E31090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E3109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="00E31090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 № </w:t>
            </w:r>
            <w:r w:rsidR="00E3109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884" w:type="dxa"/>
          </w:tcPr>
          <w:p w:rsidR="003C60FE" w:rsidRDefault="003C60FE" w:rsidP="003C60F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02" w:type="dxa"/>
          </w:tcPr>
          <w:p w:rsidR="003C60FE" w:rsidRPr="007F4D80" w:rsidRDefault="003C60FE" w:rsidP="003C60FE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D80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АТВЕРДЖУЮ</w:t>
            </w:r>
          </w:p>
          <w:p w:rsidR="003C60FE" w:rsidRPr="008C5F8E" w:rsidRDefault="003C60FE" w:rsidP="003C60F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8C5F8E">
              <w:rPr>
                <w:rFonts w:ascii="Times New Roman" w:hAnsi="Times New Roman"/>
                <w:bCs/>
                <w:sz w:val="28"/>
                <w:szCs w:val="28"/>
              </w:rPr>
              <w:t>иректор</w:t>
            </w:r>
            <w:r w:rsidRPr="008C5F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Введенського навчально-виховного комплексу Чугуївської районної ради Харківської області</w:t>
            </w:r>
          </w:p>
          <w:p w:rsidR="003C60FE" w:rsidRPr="008C5F8E" w:rsidRDefault="003C60FE" w:rsidP="003C60F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_________________Е. ЦАРЕВСЬКА</w:t>
            </w:r>
          </w:p>
          <w:p w:rsidR="003C60FE" w:rsidRDefault="003C60FE" w:rsidP="003C60FE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C5F8E">
              <w:rPr>
                <w:rFonts w:ascii="Times New Roman" w:hAnsi="Times New Roman"/>
                <w:sz w:val="28"/>
                <w:szCs w:val="28"/>
              </w:rPr>
              <w:t>___________________20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C5F8E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3C60FE" w:rsidRDefault="003C60FE" w:rsidP="003C60FE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C60FE" w:rsidRDefault="003C60FE" w:rsidP="003C60FE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C60FE" w:rsidRDefault="003C60FE" w:rsidP="003C60FE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C60FE" w:rsidRDefault="003C60FE" w:rsidP="003C60FE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C60FE" w:rsidRDefault="003C60FE" w:rsidP="003C60FE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C60FE" w:rsidRDefault="003C60FE" w:rsidP="003C60FE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C60FE" w:rsidRDefault="003C60FE" w:rsidP="00D7392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  <w:r w:rsidRPr="005E1C32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Освітн</w:t>
      </w:r>
      <w:r w:rsidR="00E31090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і</w:t>
      </w:r>
      <w:r w:rsidRPr="005E1C32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 xml:space="preserve"> програм</w:t>
      </w:r>
      <w:r w:rsidR="00E31090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и</w:t>
      </w:r>
      <w:r w:rsidRPr="005E1C32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 xml:space="preserve"> </w:t>
      </w:r>
    </w:p>
    <w:p w:rsidR="003C60FE" w:rsidRDefault="003C60FE" w:rsidP="00D739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на 2020/2021 навчальний рік</w:t>
      </w:r>
    </w:p>
    <w:p w:rsidR="003C60FE" w:rsidRPr="00344966" w:rsidRDefault="003C60FE" w:rsidP="00D739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44966">
        <w:rPr>
          <w:rFonts w:ascii="Times New Roman" w:hAnsi="Times New Roman" w:cs="Times New Roman"/>
          <w:b/>
          <w:sz w:val="36"/>
          <w:szCs w:val="36"/>
          <w:lang w:val="uk-UA"/>
        </w:rPr>
        <w:t>Введенського навчально-виховного комплексу Чугуївської районної ради Харківської області</w:t>
      </w:r>
    </w:p>
    <w:p w:rsidR="003C60FE" w:rsidRDefault="003C60FE" w:rsidP="00D739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3C60FE" w:rsidSect="00D73929">
          <w:headerReference w:type="default" r:id="rId7"/>
          <w:footerReference w:type="default" r:id="rId8"/>
          <w:type w:val="continuous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931229" w:rsidRPr="00C533A1" w:rsidRDefault="00931229" w:rsidP="009312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69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"Освітня програ</w:t>
      </w: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ма" </w:t>
      </w:r>
    </w:p>
    <w:p w:rsidR="00931229" w:rsidRPr="00C533A1" w:rsidRDefault="003C60FE" w:rsidP="009312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/</w:t>
      </w:r>
      <w:r w:rsidR="00931229"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2021 навчальний </w:t>
      </w:r>
      <w:proofErr w:type="gramStart"/>
      <w:r w:rsidR="00931229"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="00931229"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ік</w:t>
      </w:r>
    </w:p>
    <w:p w:rsidR="00931229" w:rsidRPr="00C533A1" w:rsidRDefault="00931229" w:rsidP="0093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29" w:rsidRPr="00C533A1" w:rsidRDefault="00931229" w:rsidP="00931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статті 1 Закону України «Про освіту» «Освітня програма – єдиний комплекс освітніх компонентів (предметів вивчення, дисциплін, індивідуальних завдань, контрольних заходів тощо), спланованих і організованих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 досягнення визначених результатів навчання».</w:t>
      </w:r>
    </w:p>
    <w:p w:rsidR="00931229" w:rsidRPr="00C533A1" w:rsidRDefault="00931229" w:rsidP="009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31229" w:rsidRPr="00C533A1" w:rsidRDefault="00931229" w:rsidP="009312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Розділ 1. Призначення школи та засіб її</w:t>
      </w:r>
      <w:r w:rsidRPr="00C533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еалізації………………………………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Розділ 2. Опис «моделі» випускника школи …</w:t>
      </w:r>
      <w:r w:rsidRPr="00C533A1">
        <w:rPr>
          <w:rFonts w:ascii="Times New Roman" w:hAnsi="Times New Roman" w:cs="Times New Roman"/>
          <w:color w:val="000000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Розділ 3.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ілі та задачі освітнього процесу школи …</w:t>
      </w:r>
      <w:r w:rsidRPr="00C533A1">
        <w:rPr>
          <w:rFonts w:ascii="Times New Roman" w:hAnsi="Times New Roman" w:cs="Times New Roman"/>
          <w:color w:val="000000"/>
          <w:sz w:val="24"/>
          <w:szCs w:val="24"/>
          <w:lang w:val="uk-UA"/>
        </w:rPr>
        <w:t>….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Розділ 4. Освітня програма закладу та її обґрунтування ………………………..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4.1. Освітня програма початкової освіти 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4.1.1. Освітня програма 1-2,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3-4 класів (НУШ)…………………………………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..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4.1.2. Освітня програма 4 класу…………………………………………………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4.2. Освітня програма базової середньої освіти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4.3. Освітня програма 10-11 класів (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ільна освіта)…………………………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.12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Розділ 5. Особливості організації освітнього процесу та застосовування в ньому педагогічних технологій 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……………….15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Розділ 6. Показники (вимірники) реалізації освітньої програми 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931229" w:rsidRPr="00C533A1" w:rsidRDefault="00931229" w:rsidP="00931229">
      <w:pPr>
        <w:spacing w:after="0" w:line="240" w:lineRule="auto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Розділ 7. Програмно-методичне забезпечення освітньої програми ……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931229" w:rsidRPr="00C533A1" w:rsidRDefault="00931229" w:rsidP="00931229">
      <w:pPr>
        <w:spacing w:line="240" w:lineRule="auto"/>
        <w:rPr>
          <w:color w:val="000000"/>
          <w:sz w:val="24"/>
          <w:szCs w:val="24"/>
        </w:rPr>
      </w:pPr>
    </w:p>
    <w:p w:rsidR="00931229" w:rsidRPr="00C533A1" w:rsidRDefault="00931229" w:rsidP="009312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1 Призначення школи та засіб її реалізації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школи полягає в наданні якісної повної загальної освіти дітям шкільного віку мікрорайону школи, забезпеченні їх всебічного розвитку, виховання і самореалізації особистості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1229" w:rsidRPr="005D2C43" w:rsidRDefault="00931229" w:rsidP="00931229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5D2C4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Досягнення цієї мети забезпечується шляхом формування ключових компетентностей, необхідних кожній сучасній людині для успішної життєдіяльності.</w:t>
      </w:r>
    </w:p>
    <w:p w:rsidR="00931229" w:rsidRPr="005D2C43" w:rsidRDefault="00931229" w:rsidP="00931229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5D2C4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Спільними для всіх компетентностей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5D2C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Основним засобом реалізації призначення загальноосвітнього закладу є засвоєння учнями обов'язкового мінімуму змісту загальноосвітніх програм. 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У той же час заклад має у своєму розпорядженні додаткові засоби реалізації свого призначення, а саме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 уведення в навчальний план предметів і курсів, що сприяють загальнокультурному розвитку особистості та формують гуманістичний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ітогляд;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 надання учням можливості спробувати себе 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ізних видах діяльності (інтелектуальної, трудової, художньо-естетичної тощо);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 поглиблене вивчення окремих предметі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 надання учням можливості вибору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ілю навчання, темпу засвоєння навчального матеріалу;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 оригінальна організація навчальної діяльності, інтеграція навчальної та позанавчальної діяльності;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 надання широкого спектра додаткових освітніх програм і додаткових освітніх послуг.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Освітня програма, що реалізується в закладі, спрямована на: формування в учнів сучасної наукової картини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культурних традицій та особливостей інших народів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самоосвіти, саморозвитку, самовдосконалення тощо.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Реалізація освітньої програми школи здійснюється через три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івні освіти:</w:t>
      </w:r>
    </w:p>
    <w:p w:rsidR="00931229" w:rsidRPr="00C533A1" w:rsidRDefault="00931229" w:rsidP="00602665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початкова освіта тривалістю чотири роки; </w:t>
      </w:r>
    </w:p>
    <w:p w:rsidR="00931229" w:rsidRPr="00C533A1" w:rsidRDefault="00931229" w:rsidP="00602665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базова середня освіта тривалістю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п’ять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років; </w:t>
      </w:r>
    </w:p>
    <w:p w:rsidR="00931229" w:rsidRPr="00C533A1" w:rsidRDefault="00931229" w:rsidP="00602665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ільна середня освіта тривалістю два роки.</w:t>
      </w:r>
    </w:p>
    <w:p w:rsidR="00931229" w:rsidRPr="00C533A1" w:rsidRDefault="00931229" w:rsidP="00931229">
      <w:pPr>
        <w:spacing w:line="240" w:lineRule="auto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2 Опис "моделі" випускника школи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Модель випускника Нової Української Школи – це необхідна основа для сміливих і успішних кроків у своє майбутн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є.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Всі інші здобутки у сфері компетентності може принести людині лише наполеглива цілеспрямована праця, бажання вчитися і ділитися досвідом з іншими.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Випускник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школи ма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є міцні знання і вміло користується ними. Знання та вміння отримані учнем тісно взаємопов’язані з його ціннісними орієнтирами. Набуті життєві компетентності випускник вміло використовує для успішної самореалізації у житті, навчанні та праці. Він вміє критично мислити, логічно обґрунтовувати позицію, виявляти ініціативу, творити, вирішувати проблеми, оцінювати ризики та приймати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ішення.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Наш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випускник – це передусім людина творча, з великим потенціалом саморозвитку та самореалізації, широким спектром особистості: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 випускник школи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добре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проінформована особистість;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прагне до самоосвіти та вдосконалення;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 готовий брати активну участь у суспільно-культурному житті громади, держави; </w:t>
      </w: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 є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ідомим громадянином, готовим відповідати за свої вчинки;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ідомо ставиться до свого здоров’я та довкілля;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мислить креативно, використовуючи увесь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ій творчий потенціал.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Випускник компетентний у ставленні до життя — реалізує себе через самопізнання, саморозуміння та інтелектуальну культуру.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Випускник початкових класів має знання, уміння та навички, передбачені стандартом початкової освіти. Він упевнений у собі, старанний, працелюбний, самостійний, дисциплінований, вмотивований на досягнення успіху, вміє слухати і чути, критично мислити і має почуття самоконтролю, навички навчальної діяльності, культуру поведінки і мови, основи особистої гі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ієни і здорового способу життя.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Випускник базової основної школи володіє певними якостями і вміннями 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івні вимог державних освітніх стандартів успішно засвоює загальноосвітні програми з усіх предметів шкільного навчального плану; має систему розумових навичок (порівняння, узагальнення, аналіз, синтез, класифікацію, визначення головного); володіє основами комп’ютерної грамотності; знає свої громадянські права і вміє їх реалізувати; оцінює свою діяльність з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погляду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моральності та етичних цінностей; дотримується правил культури поведінки і спілкування; веде здоровий спосіб життя; готовий до форм і методів навчання, використовуваних у старших класах.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Випускник старших класів має міцні знання 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івні вимог державних освітніх стандартів, що забезпечує вступ до закладу вищої професійної освіти та подальше успішне навчання; володіє іноземною мовою на базовому рівні; має високий рівень комп'ютерної грамотності (програмування, навички технічного обслуговування); володіє культурою інтелектуальної діяльності; знає і поважає культуру України та інших народів; поважає свою й чужу гідність, права, свободи інших людей; дотримується правил культури поведінки і спілкування; має почуття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іальної відповідальності; веде здоровий спосіб життя; володіє способами отримання інформації; прагне духовного і соціального добробуту.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Наш випускник -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ідомий громадянин і патріот своєї країни, готовий до сміливих і успішних кроків у майбутнє.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31229" w:rsidRPr="00C533A1" w:rsidRDefault="00931229" w:rsidP="00931229">
      <w:pPr>
        <w:spacing w:line="240" w:lineRule="auto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Розділ 3 </w:t>
      </w:r>
      <w:proofErr w:type="gramStart"/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proofErr w:type="gramEnd"/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ілі та задачі освітнього процесу школи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ілі та задачі освітнього процесу на кожному рівні реалізації освітніх програм повинні бути обумовлені "моделлю" випускника, призначенням і місцем школи в освітньому просторі міста, району, мікрорайону. 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Вони повинні бути сформульовані конкретно, бути вимірними, досяжними, визначеними за часом, несуперечливими по відношенню одна до одної. Інакше кажучи, відповідати загальним вимогам, що пропонуються до визначення цілей і задач. </w:t>
      </w:r>
      <w:proofErr w:type="gramEnd"/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Перед школою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поставлен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 такі цілі освітнього процесу: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1.Забезпечити засвоєння учнями обов'язкового мінімуму змісту початкової, основної, середньої (повної) загальної освіти 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івні вимог державного освітнього стандарту;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2.Гарантувати наступність освітніх програм усіх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івнів;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3.Створити основу для адаптації учні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до життя в суспільстві, для усвідомленого вибору та наступного засвоєння професійних освітніх програм;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4.Формувати позитивну мотивацію учнів до навчальної діяльності;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5.Забезпечити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іально-педагогічні відносини, що зберігають фізичне, психічне та соціальне здоров'я учнів;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ідвищення кваліфікації педагогічних працівників шляхом своєчасного та якісного проходження курсів перепідготовки;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7.Проведення атестації та сертифікації педагогі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8.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ілеспрямоване вдосконалення навчально-матеріальної бази школи.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31229" w:rsidRPr="00C533A1" w:rsidRDefault="00931229" w:rsidP="00931229">
      <w:pPr>
        <w:spacing w:line="240" w:lineRule="auto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4 Освітня програма закладу та її обґрунтування</w:t>
      </w:r>
    </w:p>
    <w:p w:rsidR="00931229" w:rsidRPr="00C533A1" w:rsidRDefault="00931229" w:rsidP="00931229">
      <w:pPr>
        <w:spacing w:line="240" w:lineRule="auto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Освітня програма початкової освіти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Освітня програма початкової освіти окреслює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ідходи до організації єдиного комплексу освітніх компонентів для досягнення учнями обов’язкових результатів навчання, визначених Державним стандартом початкової освіти. Початкова освіта здобувається з шести років (відповідно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Закону України «Про освіту»).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Програма визначає загальний обсяг навчального навантаження на тиждень, забезпечує взаємозв’язки окремих предметів, курсів за вибором, їх інтеграцію та логічну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ідовність вивчення які будуть подані в рамках навчальних планів: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Метою початкової освіти є всебічний розвиток дитини, її талантів, здібностей, компетентностей та наскрізних умінь відповідно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вікових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індивідуальних психофізіологічних особливостей і потреб, формування цінностей, розвиток самостійності, творчості та допитливості.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Початкова освіта має такі цикли, як 1—2 і 3—4 класи, що враховують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 Вимоги до обов’язкових результатів навчання визначаються з урахуванням компетентнісного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ідходу до навчання, в основу якого покладено ключові компетентності: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ідну в різних життєвих ситуаціях;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2) здатність спілкуватися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3) математична компетентність, що передбачає виявлення простих математичних залежностей в навколишньому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9) громадянські та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10) культурна компетентність, що передбачає залучення до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ішень.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Основою формування ключових компетентностей є досвід здобувачів освіти, їх потреби, які мотивують до навчання, знання та вміння, які формуються 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ізному освітньому середовищі (школі, родині), різноманітних соціальних ситуаціях і зумовлюють формування ставлення до них. Спільними для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іх ключових компетентностей є такі вміння, як читання з розумінням, 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особами. Компетентності здобувачів освіти визначено за такими освітніми галузями, які забезпечують формування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іх ключових компетентностей.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31229" w:rsidRPr="00C533A1" w:rsidRDefault="00931229" w:rsidP="00931229">
      <w:pPr>
        <w:spacing w:line="240" w:lineRule="auto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Освітня програма 1-2,3-4  класів</w:t>
      </w:r>
      <w:r w:rsidR="00602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(НУШ)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Освітню програму для 1-2 класів закладів загальної середньої освіти розроблено відповідно до Закону України «Про освіту», у відповідності до Державного стандарту початкової освіти (постанова КМУ від 21.02.2018 № 87) та Типової освітньої програми для закладів загальної середньої освіти (1-2 класи), розробленої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 керівництвом О.Я. Савченко та затвердженою наказом МОН України від 21.03.2018 № 268. У програмі визначено вимоги до конкретних очікуваних результатів навчання; коротко вказано відповідний змі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кожного навчального предмета чи інтегрованого курсу.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Програму побудовано із врахуванням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принципів: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- дитиноцентрованості і природовідповідності;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- узгодження цілей, змісту і очікуваних результатів навчання;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- науковості, доступності і практичної спрямованості змісту;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- наступності і перспективності навчання;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- взаємозв’язаного формування ключових і предметних компетентностей;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- логічної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ідовності і достатності засвоєння учнями предметних компетентностей;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- можливостей реалізації змісту освіти через предмети або інтегровані курси; - творчого використання вчителем програми залежно від умов навчання;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- адаптації до індивідуальних особливостей, інтелектуальних і фізичних можливостей, потреб та інтересів дітей.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програми має потенціал для формування у здобувачів всіх ключових компетентностей. Спільними для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іх ключових компетентностей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Освітню програму укладено за такими освітніми галузями: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мовно-літературна - включає українську мову та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ітературу, іноземну мову (англійська);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математична - спрямована на формування математичної та інших ключових компетентностей;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природнича - має на меті формування компетентностей в галузі природничих наук, основи наукового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ітогляду, становлення відповідальної природоохоронної поведінки у навколишньому світі;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технологічна - формування компетентностей в галузі техніки і технологій, здатності до зміни навколишнього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іту засобами сучасних технологій; інформативна - формування інформаційно-комунікаційної компетентності, здатності до розв’язання проблем з використанням цифрових пристроїв для розвитку, самовираження, здобуття навичок безпечної діяльності в інформаційному суспільстві;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іальна і здоров’язбережувальна - формування соціальної компетентності, активної громадянської позиції, підприємливості, розвиток самостійності, застосування моделі здорової та безпечної поведінки, збереження власного здоров’я та здоров’я інших;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громадянська та історична - формування громадянської та інших компетентностей, готовності до змін шляхом осмислення зв’язків між минулим і сучасним життям, активної громадянської позиції, набуття досвіду життя 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іумі з урахуванням демократичних принципів;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мистецька - формування цінностей у процесі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ізнання мистецтва та художньо-творчого самовираження, поваги до національної та світової мистецької спадщини;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фізкультурна - формування мотивації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занять фізичною культурою і спортом для забезпечення гармонійного фізичного розвитку, вдосконалення життєво необхідних рухових умінь та навичок.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Контроль і оцінювання навчальних досягнень здобувачів</w:t>
      </w: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здійснюються на суб’єкт-суб’єктних засадах, що передбачає систематичне відстеження їхнього індиві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дуального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розвитку у процесі навчання. 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ідлягає статистичному обліку з боку адміністративних органів.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Упродовж навчання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початков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ій школі здобувачі освіти опановують способи самоконтролю, саморефлексії і самооцінювання, що сприяє вихованню відповідальності, розвитку інтересу, своєчасному виявленню прогалин у знаннях, уміннях, навичках та їх корекції. 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Навчальні досягнення здобувачів у 1-2 класах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ідлягають вербальному, формувальному оцінюванню.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Навчальні досягнення здобувачів у 3-4 класах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ідлягають формувальному та підсумковому (тематичному і завершальному) оцінюванню.</w:t>
      </w:r>
    </w:p>
    <w:p w:rsidR="00931229" w:rsidRPr="00C533A1" w:rsidRDefault="00931229" w:rsidP="009312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Нормативно-правове забезпечення:</w:t>
      </w:r>
    </w:p>
    <w:p w:rsidR="00931229" w:rsidRPr="00C533A1" w:rsidRDefault="00931229" w:rsidP="009312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Державний стандарт початкової освіти, затверджений Постановою Кабінету Міні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ів України від 21.02.2018 року № 87;</w:t>
      </w:r>
    </w:p>
    <w:p w:rsidR="00931229" w:rsidRPr="00C533A1" w:rsidRDefault="00931229" w:rsidP="009312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Державний стандарт початкової загальної освіти, затверджений Постановою кабінету Міні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ів України від 20 квітня 2011 р. № 462; </w:t>
      </w:r>
    </w:p>
    <w:p w:rsidR="00931229" w:rsidRPr="00C533A1" w:rsidRDefault="00931229" w:rsidP="009312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Типова освітня програма закладів загальної середньої освіти І ступеня, затверджена наказом Міністерства освіти і науки України від 20.04.2018 року № 407;</w:t>
      </w:r>
    </w:p>
    <w:p w:rsidR="00931229" w:rsidRPr="00C533A1" w:rsidRDefault="00931229" w:rsidP="009312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Типова освітня програма розроблена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 керівництвом Савченко. 1-2 клас, затверджена наказом Міністерством освіти і науки України від 08.10.2019 року № 1272;</w:t>
      </w:r>
    </w:p>
    <w:p w:rsidR="00931229" w:rsidRPr="00C533A1" w:rsidRDefault="00931229" w:rsidP="009312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Типова освітня програма розроблена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 керівництвом Савченко. 3-4 клас, затверджена наказом Міністерством освіти і науки України від 08.10.2019 року № 1273;</w:t>
      </w:r>
    </w:p>
    <w:p w:rsidR="00602665" w:rsidRDefault="00602665" w:rsidP="00931229">
      <w:pPr>
        <w:spacing w:after="0" w:line="240" w:lineRule="auto"/>
        <w:ind w:left="709" w:right="85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602665" w:rsidSect="003C60F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31229" w:rsidRPr="00AE0FDF" w:rsidRDefault="00931229" w:rsidP="00931229">
      <w:pPr>
        <w:spacing w:after="0" w:line="240" w:lineRule="auto"/>
        <w:ind w:left="709" w:right="85"/>
        <w:jc w:val="right"/>
        <w:rPr>
          <w:color w:val="000000"/>
          <w:sz w:val="24"/>
          <w:szCs w:val="24"/>
        </w:rPr>
      </w:pPr>
      <w:r w:rsidRPr="00AE0F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Типова освітня програма</w:t>
      </w:r>
    </w:p>
    <w:p w:rsidR="00931229" w:rsidRPr="00AE0FDF" w:rsidRDefault="00931229" w:rsidP="00931229">
      <w:pPr>
        <w:spacing w:after="0" w:line="240" w:lineRule="auto"/>
        <w:ind w:left="709" w:right="85"/>
        <w:jc w:val="right"/>
        <w:rPr>
          <w:color w:val="000000"/>
          <w:sz w:val="24"/>
          <w:szCs w:val="24"/>
        </w:rPr>
      </w:pPr>
      <w:r w:rsidRPr="00AE0FDF">
        <w:rPr>
          <w:rFonts w:ascii="Times New Roman" w:hAnsi="Times New Roman" w:cs="Times New Roman"/>
          <w:color w:val="000000"/>
          <w:sz w:val="24"/>
          <w:szCs w:val="24"/>
        </w:rPr>
        <w:t xml:space="preserve">розроблена </w:t>
      </w:r>
      <w:proofErr w:type="gramStart"/>
      <w:r w:rsidRPr="00AE0F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E0FDF">
        <w:rPr>
          <w:rFonts w:ascii="Times New Roman" w:hAnsi="Times New Roman" w:cs="Times New Roman"/>
          <w:color w:val="000000"/>
          <w:sz w:val="24"/>
          <w:szCs w:val="24"/>
        </w:rPr>
        <w:t>ід керівництвом Савченко. 1-2 клас,</w:t>
      </w:r>
    </w:p>
    <w:p w:rsidR="00931229" w:rsidRPr="00AE0FDF" w:rsidRDefault="00931229" w:rsidP="00931229">
      <w:pPr>
        <w:spacing w:after="0" w:line="240" w:lineRule="auto"/>
        <w:ind w:left="709" w:right="85"/>
        <w:jc w:val="right"/>
        <w:rPr>
          <w:color w:val="000000"/>
          <w:sz w:val="24"/>
          <w:szCs w:val="24"/>
        </w:rPr>
      </w:pPr>
      <w:r w:rsidRPr="00AE0FDF">
        <w:rPr>
          <w:rFonts w:ascii="Times New Roman" w:hAnsi="Times New Roman" w:cs="Times New Roman"/>
          <w:color w:val="000000"/>
          <w:sz w:val="24"/>
          <w:szCs w:val="24"/>
        </w:rPr>
        <w:t>затверджена наказом Міністерства освіти і науки України</w:t>
      </w:r>
    </w:p>
    <w:p w:rsidR="00931229" w:rsidRPr="00AE0FDF" w:rsidRDefault="00931229" w:rsidP="00931229">
      <w:pPr>
        <w:spacing w:after="0" w:line="240" w:lineRule="auto"/>
        <w:ind w:left="709" w:right="85"/>
        <w:jc w:val="right"/>
        <w:rPr>
          <w:color w:val="000000"/>
          <w:sz w:val="24"/>
          <w:szCs w:val="24"/>
        </w:rPr>
      </w:pPr>
      <w:r w:rsidRPr="00AE0FDF">
        <w:rPr>
          <w:rFonts w:ascii="Times New Roman" w:hAnsi="Times New Roman" w:cs="Times New Roman"/>
          <w:color w:val="000000"/>
          <w:sz w:val="24"/>
          <w:szCs w:val="24"/>
        </w:rPr>
        <w:t>від 08.10.2019 року № 1272;</w:t>
      </w:r>
    </w:p>
    <w:tbl>
      <w:tblPr>
        <w:tblpPr w:leftFromText="180" w:rightFromText="180" w:vertAnchor="text" w:horzAnchor="margin" w:tblpY="255"/>
        <w:tblOverlap w:val="never"/>
        <w:tblW w:w="9267" w:type="dxa"/>
        <w:tblLayout w:type="fixed"/>
        <w:tblLook w:val="0000"/>
      </w:tblPr>
      <w:tblGrid>
        <w:gridCol w:w="5246"/>
        <w:gridCol w:w="1337"/>
        <w:gridCol w:w="1338"/>
        <w:gridCol w:w="1346"/>
      </w:tblGrid>
      <w:tr w:rsidR="00931229" w:rsidRPr="00C533A1" w:rsidTr="003C60FE">
        <w:trPr>
          <w:trHeight w:val="249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Назва</w:t>
            </w:r>
            <w:r w:rsidRPr="00C533A1"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Pr="00C533A1">
              <w:rPr>
                <w:rFonts w:ascii="Times New Roman" w:hAnsi="Times New Roman" w:cs="Times New Roman"/>
              </w:rPr>
              <w:t>світньо</w:t>
            </w:r>
            <w:r w:rsidRPr="00C533A1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C533A1">
              <w:rPr>
                <w:rFonts w:ascii="Times New Roman" w:hAnsi="Times New Roman" w:cs="Times New Roman"/>
              </w:rPr>
              <w:t>галузі</w:t>
            </w:r>
          </w:p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Класи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Кількість годин на тиждень</w:t>
            </w:r>
          </w:p>
        </w:tc>
      </w:tr>
      <w:tr w:rsidR="00931229" w:rsidRPr="00C533A1" w:rsidTr="003C60FE">
        <w:trPr>
          <w:trHeight w:val="448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>1</w:t>
            </w:r>
            <w:r w:rsidRPr="00C533A1">
              <w:rPr>
                <w:rFonts w:ascii="Times New Roman" w:hAnsi="Times New Roman" w:cs="Times New Roman"/>
                <w:lang w:val="uk-UA"/>
              </w:rPr>
              <w:t xml:space="preserve"> кл.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>2</w:t>
            </w:r>
            <w:r w:rsidRPr="00C533A1">
              <w:rPr>
                <w:rFonts w:ascii="Times New Roman" w:hAnsi="Times New Roman" w:cs="Times New Roman"/>
                <w:lang w:val="uk-UA"/>
              </w:rPr>
              <w:t xml:space="preserve"> кл.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Разом</w:t>
            </w:r>
          </w:p>
        </w:tc>
      </w:tr>
      <w:tr w:rsidR="00931229" w:rsidRPr="00C533A1" w:rsidTr="003C60FE">
        <w:trPr>
          <w:trHeight w:val="379"/>
        </w:trPr>
        <w:tc>
          <w:tcPr>
            <w:tcW w:w="9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C533A1">
              <w:rPr>
                <w:rFonts w:ascii="Times New Roman" w:hAnsi="Times New Roman" w:cs="Times New Roman"/>
                <w:i/>
                <w:iCs/>
                <w:lang w:val="uk-UA"/>
              </w:rPr>
              <w:t>Інваріативний складник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>Мовно-літературна</w:t>
            </w:r>
            <w:r w:rsidRPr="00C533A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gramStart"/>
            <w:r w:rsidRPr="00C533A1">
              <w:rPr>
                <w:rFonts w:ascii="Times New Roman" w:hAnsi="Times New Roman" w:cs="Times New Roman"/>
                <w:lang w:val="uk-UA"/>
              </w:rPr>
              <w:t>у</w:t>
            </w:r>
            <w:proofErr w:type="gramEnd"/>
            <w:r w:rsidRPr="00C533A1">
              <w:rPr>
                <w:rFonts w:ascii="Times New Roman" w:hAnsi="Times New Roman" w:cs="Times New Roman"/>
                <w:lang w:val="uk-UA"/>
              </w:rPr>
              <w:t xml:space="preserve"> тому числі: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>Іноземна мова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>Математичн</w:t>
            </w:r>
            <w:r w:rsidRPr="00C533A1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8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C533A1">
              <w:rPr>
                <w:rFonts w:ascii="Times New Roman" w:hAnsi="Times New Roman" w:cs="Times New Roman"/>
              </w:rPr>
              <w:t>досл</w:t>
            </w:r>
            <w:proofErr w:type="gramEnd"/>
            <w:r w:rsidRPr="00C533A1">
              <w:rPr>
                <w:rFonts w:ascii="Times New Roman" w:hAnsi="Times New Roman" w:cs="Times New Roman"/>
              </w:rPr>
              <w:t>іджую світ (природнича, громадянська й історична, соціальна, здоров’язбережувальна галузі</w:t>
            </w:r>
            <w:r w:rsidRPr="00C533A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931229" w:rsidRPr="00C533A1" w:rsidTr="003C60FE">
        <w:trPr>
          <w:trHeight w:val="5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Технологічна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931229" w:rsidRPr="00C533A1" w:rsidTr="003C60FE">
        <w:trPr>
          <w:trHeight w:val="3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Інформатична</w:t>
            </w: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Мистецька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Фізкультурна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3A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3A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3A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931229" w:rsidRPr="00C533A1" w:rsidTr="003C60FE">
        <w:trPr>
          <w:trHeight w:val="337"/>
        </w:trPr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3A1">
              <w:rPr>
                <w:rFonts w:ascii="Times New Roman" w:hAnsi="Times New Roman" w:cs="Times New Roman"/>
                <w:i/>
                <w:iCs/>
              </w:rPr>
              <w:t>Варіативний складник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3A1">
              <w:rPr>
                <w:rFonts w:ascii="Times New Roman" w:hAnsi="Times New Roman" w:cs="Times New Roman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2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1229" w:rsidRPr="00C533A1" w:rsidRDefault="00931229" w:rsidP="00602665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Загальнорічна кількість навчальних годин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229" w:rsidRPr="00C533A1" w:rsidRDefault="00931229" w:rsidP="00602665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229" w:rsidRPr="00C533A1" w:rsidRDefault="00931229" w:rsidP="00602665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229" w:rsidRPr="00C533A1" w:rsidRDefault="00931229" w:rsidP="00602665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48</w:t>
            </w:r>
          </w:p>
        </w:tc>
      </w:tr>
      <w:tr w:rsidR="00931229" w:rsidRPr="00C533A1" w:rsidTr="003C60FE">
        <w:trPr>
          <w:trHeight w:val="24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Гранично допустиме тижневе / </w:t>
            </w:r>
            <w:proofErr w:type="gramStart"/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ічне навчальне навантаження  учня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20/700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22/770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42/1470</w:t>
            </w:r>
          </w:p>
        </w:tc>
      </w:tr>
    </w:tbl>
    <w:p w:rsidR="00931229" w:rsidRPr="00C533A1" w:rsidRDefault="00931229" w:rsidP="00602665">
      <w:pPr>
        <w:spacing w:after="0" w:line="240" w:lineRule="auto"/>
        <w:ind w:left="709" w:right="85"/>
        <w:rPr>
          <w:sz w:val="24"/>
          <w:szCs w:val="24"/>
        </w:rPr>
      </w:pPr>
    </w:p>
    <w:p w:rsidR="00931229" w:rsidRDefault="00931229" w:rsidP="00931229">
      <w:pPr>
        <w:spacing w:after="0" w:line="240" w:lineRule="auto"/>
        <w:ind w:left="709" w:right="8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1229" w:rsidRDefault="00931229" w:rsidP="00931229">
      <w:pPr>
        <w:spacing w:after="0" w:line="240" w:lineRule="auto"/>
        <w:ind w:left="709" w:right="8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2665" w:rsidRDefault="00602665" w:rsidP="00931229">
      <w:pPr>
        <w:spacing w:after="0" w:line="240" w:lineRule="auto"/>
        <w:ind w:left="709" w:right="85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602665" w:rsidSect="003C60F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31229" w:rsidRPr="00C533A1" w:rsidRDefault="00931229" w:rsidP="00931229">
      <w:pPr>
        <w:spacing w:after="0" w:line="240" w:lineRule="auto"/>
        <w:ind w:left="709" w:right="85"/>
        <w:jc w:val="right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Типова освітня програма</w:t>
      </w:r>
    </w:p>
    <w:p w:rsidR="00931229" w:rsidRPr="00C533A1" w:rsidRDefault="00931229" w:rsidP="00931229">
      <w:pPr>
        <w:spacing w:after="0" w:line="240" w:lineRule="auto"/>
        <w:ind w:left="709" w:right="85"/>
        <w:jc w:val="right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розроблена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 керівництвом Савченко. 3-4 клас,</w:t>
      </w:r>
    </w:p>
    <w:p w:rsidR="00931229" w:rsidRPr="00C533A1" w:rsidRDefault="00931229" w:rsidP="00931229">
      <w:pPr>
        <w:spacing w:after="0" w:line="240" w:lineRule="auto"/>
        <w:ind w:left="709" w:right="85"/>
        <w:jc w:val="right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затверджена наказом Міністерством освіти і науки України</w:t>
      </w:r>
    </w:p>
    <w:p w:rsidR="00931229" w:rsidRPr="00C533A1" w:rsidRDefault="00931229" w:rsidP="00931229">
      <w:pPr>
        <w:spacing w:after="0" w:line="240" w:lineRule="auto"/>
        <w:ind w:left="709" w:right="85"/>
        <w:jc w:val="right"/>
        <w:rPr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від 08.10.2019 року № 1273;</w:t>
      </w:r>
    </w:p>
    <w:tbl>
      <w:tblPr>
        <w:tblpPr w:leftFromText="180" w:rightFromText="180" w:vertAnchor="text" w:horzAnchor="margin" w:tblpY="255"/>
        <w:tblOverlap w:val="never"/>
        <w:tblW w:w="9267" w:type="dxa"/>
        <w:tblLayout w:type="fixed"/>
        <w:tblLook w:val="0000"/>
      </w:tblPr>
      <w:tblGrid>
        <w:gridCol w:w="5246"/>
        <w:gridCol w:w="1337"/>
        <w:gridCol w:w="1338"/>
        <w:gridCol w:w="1346"/>
      </w:tblGrid>
      <w:tr w:rsidR="00931229" w:rsidRPr="00C533A1" w:rsidTr="003C60FE">
        <w:trPr>
          <w:trHeight w:val="249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Назва</w:t>
            </w:r>
            <w:r w:rsidRPr="00C533A1"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Pr="00C533A1">
              <w:rPr>
                <w:rFonts w:ascii="Times New Roman" w:hAnsi="Times New Roman" w:cs="Times New Roman"/>
              </w:rPr>
              <w:t>світньо</w:t>
            </w:r>
            <w:r w:rsidRPr="00C533A1">
              <w:rPr>
                <w:rFonts w:ascii="Times New Roman" w:hAnsi="Times New Roman" w:cs="Times New Roman"/>
                <w:lang w:val="uk-UA"/>
              </w:rPr>
              <w:t xml:space="preserve">ї </w:t>
            </w:r>
            <w:r w:rsidRPr="00C533A1">
              <w:rPr>
                <w:rFonts w:ascii="Times New Roman" w:hAnsi="Times New Roman" w:cs="Times New Roman"/>
              </w:rPr>
              <w:t>галузі</w:t>
            </w:r>
          </w:p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Класи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Кількість годин на тиждень</w:t>
            </w:r>
          </w:p>
        </w:tc>
      </w:tr>
      <w:tr w:rsidR="00931229" w:rsidRPr="00C533A1" w:rsidTr="003C60FE">
        <w:trPr>
          <w:trHeight w:val="448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 кл.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4 кл.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Разом</w:t>
            </w:r>
          </w:p>
        </w:tc>
      </w:tr>
      <w:tr w:rsidR="00931229" w:rsidRPr="00C533A1" w:rsidTr="003C60FE">
        <w:trPr>
          <w:trHeight w:val="379"/>
        </w:trPr>
        <w:tc>
          <w:tcPr>
            <w:tcW w:w="9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C533A1">
              <w:rPr>
                <w:rFonts w:ascii="Times New Roman" w:hAnsi="Times New Roman" w:cs="Times New Roman"/>
                <w:i/>
                <w:iCs/>
                <w:lang w:val="uk-UA"/>
              </w:rPr>
              <w:t>Інваріативний складник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>Мовно-літературна</w:t>
            </w:r>
            <w:r w:rsidRPr="00C533A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gramStart"/>
            <w:r w:rsidRPr="00C533A1">
              <w:rPr>
                <w:rFonts w:ascii="Times New Roman" w:hAnsi="Times New Roman" w:cs="Times New Roman"/>
                <w:lang w:val="uk-UA"/>
              </w:rPr>
              <w:t>у</w:t>
            </w:r>
            <w:proofErr w:type="gramEnd"/>
            <w:r w:rsidRPr="00C533A1">
              <w:rPr>
                <w:rFonts w:ascii="Times New Roman" w:hAnsi="Times New Roman" w:cs="Times New Roman"/>
                <w:lang w:val="uk-UA"/>
              </w:rPr>
              <w:t xml:space="preserve"> тому числі: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>Іноземна мова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>Математичн</w:t>
            </w:r>
            <w:r w:rsidRPr="00C533A1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C533A1">
              <w:rPr>
                <w:rFonts w:ascii="Times New Roman" w:hAnsi="Times New Roman" w:cs="Times New Roman"/>
              </w:rPr>
              <w:t>досл</w:t>
            </w:r>
            <w:proofErr w:type="gramEnd"/>
            <w:r w:rsidRPr="00C533A1">
              <w:rPr>
                <w:rFonts w:ascii="Times New Roman" w:hAnsi="Times New Roman" w:cs="Times New Roman"/>
              </w:rPr>
              <w:t>іджую світ (природнича, громадянська й історична, соціальна, здоров’язбережувальна галузі</w:t>
            </w:r>
            <w:r w:rsidRPr="00C533A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931229" w:rsidRPr="00C533A1" w:rsidTr="003C60FE">
        <w:trPr>
          <w:trHeight w:val="5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Технологічна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931229" w:rsidRPr="00C533A1" w:rsidTr="003C60FE">
        <w:trPr>
          <w:trHeight w:val="3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Інформатична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Мистецька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Фізкультурна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3A1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</w:rPr>
              <w:t>2</w:t>
            </w:r>
            <w:r w:rsidRPr="00C533A1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</w:rPr>
              <w:t>2</w:t>
            </w:r>
            <w:r w:rsidRPr="00C533A1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lang w:val="uk-UA"/>
              </w:rPr>
              <w:t>50</w:t>
            </w:r>
          </w:p>
        </w:tc>
      </w:tr>
      <w:tr w:rsidR="00931229" w:rsidRPr="00C533A1" w:rsidTr="003C60FE">
        <w:trPr>
          <w:trHeight w:val="337"/>
        </w:trPr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3A1">
              <w:rPr>
                <w:rFonts w:ascii="Times New Roman" w:hAnsi="Times New Roman" w:cs="Times New Roman"/>
                <w:i/>
                <w:iCs/>
              </w:rPr>
              <w:t>Варіативний складник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3A1">
              <w:rPr>
                <w:rFonts w:ascii="Times New Roman" w:hAnsi="Times New Roman" w:cs="Times New Roman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3A1">
              <w:rPr>
                <w:rFonts w:ascii="Times New Roman" w:hAnsi="Times New Roman" w:cs="Times New Roman"/>
              </w:rPr>
              <w:t>2</w:t>
            </w:r>
          </w:p>
        </w:tc>
      </w:tr>
      <w:tr w:rsidR="00931229" w:rsidRPr="00C533A1" w:rsidTr="003C60FE"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1229" w:rsidRPr="00C533A1" w:rsidRDefault="00931229" w:rsidP="00602665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Загальнорічна кількість навчальних годин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229" w:rsidRPr="00C533A1" w:rsidRDefault="00931229" w:rsidP="00602665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229" w:rsidRPr="00C533A1" w:rsidRDefault="00931229" w:rsidP="00602665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229" w:rsidRPr="00C533A1" w:rsidRDefault="00931229" w:rsidP="00602665">
            <w:pPr>
              <w:pStyle w:val="a3"/>
              <w:spacing w:before="0"/>
              <w:ind w:right="-57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52</w:t>
            </w:r>
          </w:p>
        </w:tc>
      </w:tr>
      <w:tr w:rsidR="00931229" w:rsidRPr="00C533A1" w:rsidTr="003C60FE">
        <w:trPr>
          <w:trHeight w:val="24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Гранично допустиме тижневе / </w:t>
            </w:r>
            <w:proofErr w:type="gramStart"/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ічне навчальне навантаження  учня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3</w:t>
            </w: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805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3</w:t>
            </w: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805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6</w:t>
            </w:r>
            <w:r w:rsidRPr="00C533A1">
              <w:rPr>
                <w:rFonts w:ascii="Times New Roman" w:hAnsi="Times New Roman" w:cs="Times New Roman"/>
                <w:b/>
                <w:bCs/>
                <w:i/>
                <w:iCs/>
              </w:rPr>
              <w:t>/1</w:t>
            </w:r>
            <w:r w:rsidRPr="00C533A1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610</w:t>
            </w:r>
          </w:p>
        </w:tc>
      </w:tr>
    </w:tbl>
    <w:p w:rsidR="00931229" w:rsidRPr="00C533A1" w:rsidRDefault="00931229" w:rsidP="00602665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:rsidR="00602665" w:rsidRDefault="00602665" w:rsidP="0093122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02665" w:rsidSect="003C60F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31229" w:rsidRPr="00C533A1" w:rsidRDefault="00931229" w:rsidP="00931229">
      <w:pPr>
        <w:spacing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4.1.2. Освітня програма 4 клас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Освітня програма для 4 класу розроблена на виконання постанови Кабінету Міні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ів України від 20 квітня 2011 року № 462 «Про затвердження Державного стандарту початкової загальної освіти», відповідно до Типової освітньої програми закладів загальної середньої освіти І ступеня (наказ Міністерства освіти і науки України від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20.04.2018 № 407) з української мовою навчання з вивченням мови національної меншини.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Вона визначає: 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ідовності їх вивчення які натепер подані в рамках навчальних планів; очікувані результати навчання учнів; рекомендовані форми організації освітнього процесу та інструменти системи внутрішнього забезпечення якості освіти.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Загальний обсяг навчального навантаження для учнів 4-х класів складає 910 годин/навчальний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ік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Освітню програму для 4 класу укладено за такими освітніми галузями: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Мова і література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Суспільствознавство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Мистецтво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Математика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Природознавство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Технології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Здоров’я і фізична культура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Повноцінність початкової освіти забезпечується реалізацією як інваріантної, так і варіативної складових, які в обов'язковому порядку фінансуються з відповідних бюджеті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931229" w:rsidRPr="00C533A1" w:rsidRDefault="00931229" w:rsidP="00931229">
      <w:pPr>
        <w:spacing w:line="240" w:lineRule="auto"/>
        <w:jc w:val="both"/>
        <w:rPr>
          <w:color w:val="000000"/>
          <w:sz w:val="24"/>
          <w:szCs w:val="24"/>
        </w:rPr>
      </w:pPr>
    </w:p>
    <w:p w:rsidR="00931229" w:rsidRPr="00C533A1" w:rsidRDefault="00931229" w:rsidP="0093122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 № 407 від 20.04.2018 року;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1"/>
        <w:gridCol w:w="4235"/>
        <w:gridCol w:w="1482"/>
        <w:gridCol w:w="1480"/>
      </w:tblGrid>
      <w:tr w:rsidR="00931229" w:rsidRPr="00C533A1" w:rsidTr="003C60FE">
        <w:tc>
          <w:tcPr>
            <w:tcW w:w="1270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Освітні галузі</w:t>
            </w:r>
          </w:p>
        </w:tc>
        <w:tc>
          <w:tcPr>
            <w:tcW w:w="2195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Предмети</w:t>
            </w:r>
          </w:p>
        </w:tc>
        <w:tc>
          <w:tcPr>
            <w:tcW w:w="1535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Кількість годин на тиждень у класах</w:t>
            </w:r>
          </w:p>
        </w:tc>
      </w:tr>
      <w:tr w:rsidR="00931229" w:rsidRPr="00C533A1" w:rsidTr="003C60FE">
        <w:tc>
          <w:tcPr>
            <w:tcW w:w="0" w:type="auto"/>
            <w:vMerge/>
            <w:shd w:val="clear" w:color="auto" w:fill="E7F0F5"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F0F5"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Разом</w:t>
            </w:r>
          </w:p>
        </w:tc>
      </w:tr>
      <w:tr w:rsidR="00931229" w:rsidRPr="00C533A1" w:rsidTr="003C60FE">
        <w:trPr>
          <w:trHeight w:val="20"/>
        </w:trPr>
        <w:tc>
          <w:tcPr>
            <w:tcW w:w="1270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ind w:left="127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Мови і літератури (мовний і літературний компоненти)</w:t>
            </w:r>
          </w:p>
        </w:tc>
        <w:tc>
          <w:tcPr>
            <w:tcW w:w="219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ind w:left="121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Українська мова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31229" w:rsidRPr="00C533A1" w:rsidTr="003C60FE">
        <w:trPr>
          <w:trHeight w:val="20"/>
        </w:trPr>
        <w:tc>
          <w:tcPr>
            <w:tcW w:w="0" w:type="auto"/>
            <w:vMerge/>
            <w:shd w:val="clear" w:color="auto" w:fill="E7F0F5"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9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ind w:left="121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Іноземна мова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31229" w:rsidRPr="00C533A1" w:rsidTr="003C60FE">
        <w:trPr>
          <w:trHeight w:val="20"/>
        </w:trPr>
        <w:tc>
          <w:tcPr>
            <w:tcW w:w="127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ind w:left="127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9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ind w:left="121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31229" w:rsidRPr="00C533A1" w:rsidTr="003C60FE">
        <w:trPr>
          <w:trHeight w:val="20"/>
        </w:trPr>
        <w:tc>
          <w:tcPr>
            <w:tcW w:w="127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ind w:left="127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Природознавство</w:t>
            </w:r>
          </w:p>
        </w:tc>
        <w:tc>
          <w:tcPr>
            <w:tcW w:w="219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ind w:left="121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Природознавство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31229" w:rsidRPr="00C533A1" w:rsidTr="003C60FE">
        <w:trPr>
          <w:trHeight w:val="20"/>
        </w:trPr>
        <w:tc>
          <w:tcPr>
            <w:tcW w:w="127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ind w:left="127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Суспільствознавство</w:t>
            </w:r>
          </w:p>
        </w:tc>
        <w:tc>
          <w:tcPr>
            <w:tcW w:w="219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ind w:left="121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 xml:space="preserve">Я у </w:t>
            </w:r>
            <w:proofErr w:type="gramStart"/>
            <w:r w:rsidRPr="00C533A1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C533A1">
              <w:rPr>
                <w:rFonts w:ascii="Times New Roman" w:hAnsi="Times New Roman" w:cs="Times New Roman"/>
                <w:color w:val="000000"/>
              </w:rPr>
              <w:t>іті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31229" w:rsidRPr="00C533A1" w:rsidTr="003C60FE">
        <w:tc>
          <w:tcPr>
            <w:tcW w:w="1270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ind w:left="127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Мистецтво</w:t>
            </w:r>
          </w:p>
        </w:tc>
        <w:tc>
          <w:tcPr>
            <w:tcW w:w="2195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Мистецтво/музичне мистецтво</w:t>
            </w:r>
            <w:proofErr w:type="gramStart"/>
            <w:r w:rsidRPr="00C533A1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C533A1">
              <w:rPr>
                <w:rFonts w:ascii="Times New Roman" w:hAnsi="Times New Roman" w:cs="Times New Roman"/>
                <w:color w:val="000000"/>
              </w:rPr>
              <w:t>бразотворче мистецтво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31229" w:rsidRPr="00C533A1" w:rsidTr="003C60FE">
        <w:tc>
          <w:tcPr>
            <w:tcW w:w="0" w:type="auto"/>
            <w:vMerge/>
            <w:shd w:val="clear" w:color="auto" w:fill="E7F0F5"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F0F5"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31229" w:rsidRPr="00C533A1" w:rsidTr="003C60FE">
        <w:trPr>
          <w:trHeight w:val="20"/>
        </w:trPr>
        <w:tc>
          <w:tcPr>
            <w:tcW w:w="1270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ind w:left="127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Технології</w:t>
            </w:r>
          </w:p>
        </w:tc>
        <w:tc>
          <w:tcPr>
            <w:tcW w:w="219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ind w:left="121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Трудове навчання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31229" w:rsidRPr="00C533A1" w:rsidTr="003C60FE">
        <w:trPr>
          <w:trHeight w:val="20"/>
        </w:trPr>
        <w:tc>
          <w:tcPr>
            <w:tcW w:w="0" w:type="auto"/>
            <w:vMerge/>
            <w:shd w:val="clear" w:color="auto" w:fill="E7F0F5"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9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ind w:left="121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Інформатика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31229" w:rsidRPr="00C533A1" w:rsidTr="003C60FE">
        <w:trPr>
          <w:trHeight w:val="20"/>
        </w:trPr>
        <w:tc>
          <w:tcPr>
            <w:tcW w:w="1270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ind w:left="127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Здоров'я і фізична культура</w:t>
            </w:r>
          </w:p>
        </w:tc>
        <w:tc>
          <w:tcPr>
            <w:tcW w:w="219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ind w:left="121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Основи здоров'я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31229" w:rsidRPr="00C533A1" w:rsidTr="003C60FE">
        <w:trPr>
          <w:trHeight w:val="20"/>
        </w:trPr>
        <w:tc>
          <w:tcPr>
            <w:tcW w:w="0" w:type="auto"/>
            <w:vMerge/>
            <w:shd w:val="clear" w:color="auto" w:fill="E7F0F5"/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9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ind w:left="121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Фізична культура*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31229" w:rsidRPr="00C533A1" w:rsidTr="003C60FE">
        <w:trPr>
          <w:trHeight w:val="20"/>
        </w:trPr>
        <w:tc>
          <w:tcPr>
            <w:tcW w:w="3465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ind w:left="127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Усього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21+3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21+3</w:t>
            </w:r>
          </w:p>
        </w:tc>
      </w:tr>
      <w:tr w:rsidR="00931229" w:rsidRPr="00C533A1" w:rsidTr="003C60FE">
        <w:trPr>
          <w:trHeight w:val="449"/>
        </w:trPr>
        <w:tc>
          <w:tcPr>
            <w:tcW w:w="3465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</w:rPr>
              <w:t>Варіативна складова: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</w:tc>
      </w:tr>
      <w:tr w:rsidR="00931229" w:rsidRPr="00C533A1" w:rsidTr="003C60FE">
        <w:trPr>
          <w:trHeight w:val="20"/>
        </w:trPr>
        <w:tc>
          <w:tcPr>
            <w:tcW w:w="3465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Гранично допустиме тижневе навчальне навантаження на учня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</w:rPr>
            </w:pPr>
          </w:p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31229" w:rsidRPr="00C533A1" w:rsidTr="003C60FE">
        <w:trPr>
          <w:trHeight w:val="20"/>
        </w:trPr>
        <w:tc>
          <w:tcPr>
            <w:tcW w:w="3465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1229" w:rsidRPr="00C533A1" w:rsidRDefault="00931229" w:rsidP="00602665">
            <w:pPr>
              <w:spacing w:after="0" w:line="240" w:lineRule="auto"/>
              <w:ind w:left="127"/>
              <w:jc w:val="both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</w:t>
            </w:r>
            <w:proofErr w:type="gramStart"/>
            <w:r w:rsidRPr="00C533A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C533A1">
              <w:rPr>
                <w:rFonts w:ascii="Times New Roman" w:hAnsi="Times New Roman" w:cs="Times New Roman"/>
                <w:color w:val="000000"/>
              </w:rPr>
              <w:t xml:space="preserve"> на групи)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</w:rPr>
            </w:pPr>
            <w:r w:rsidRPr="00C533A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</w:tbl>
    <w:p w:rsidR="00931229" w:rsidRDefault="00931229" w:rsidP="00602665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02665" w:rsidRDefault="00602665" w:rsidP="00602665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02665" w:rsidRPr="00C533A1" w:rsidRDefault="00602665" w:rsidP="00602665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31229" w:rsidRPr="00C533A1" w:rsidRDefault="00931229" w:rsidP="00931229">
      <w:pPr>
        <w:spacing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4.2. Освітня програма базової середньої освіти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Освітня програма загальної середньої освіти ІІ ступеня (базова середня освіта) розроблена на виконання Закону України «Про освіту» та постанови Кабінету Міні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ів України від 23 листопада 2011 року № 1392 «Про затвердження Державного стандарту базової та повної загальної середньої освіти» відповідно до Типової освітньої програми закладів загальної середньої освіти ІІ ступеня (наказ Міністерства освіти і науки України від 20.04.2018 № 405) з навчанням українською мовою і вивченням мови національної меншини.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Освітня програма окреслює організацію закладом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освіти, визнача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є: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загальний обсяг навчального навантаження, очікувані результати навчання учнів. рекомендовані форми організації освітнього процесу та інструменти системи внутрішнього забезпечення якості освіти, вимоги до осіб, які можуть розпочати навчання за цією 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Типовою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освітньою програмою. Загальний обсяг навчального навантаження для учнів 5-9-х класів закладів загальної середньої освіти складає 5845 годин/навчальний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ік: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для 5-х класів – 1050 годин/навчальний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ік,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для 6-х класів – 1155 годин/навчальний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ік,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для 7-х класів – 1172,5 годин/навчальний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ік,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для 8-х класів – 1207,5 годин/навчальний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ік,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для 9-х класів – 1260 годин/навчальний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ік.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Детальний розподіл навчального навантаження на тиждень окреслює навчальний план закладу, який дає цілісне уявлення про змі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і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учнів.. Вони охоплюють інваріантну складову, сформовану на державному рівні. Варіативна складова визначена з урахуванням особливості організації освітнього процесу та індивідуальних освітніх потреб учні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Варіативна складова використана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 збільшення кількості годин на вивчення предметів інваріантної складової, які використовуються на вивчення тем передбачених навчальною програмою академічного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івня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 запровадження курсів за вибором, що розширюють обрану навчальним закладом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ітоглядне спрямування (Родинні фінанси, Фінансово-грамотний споживач, Фінансова культура, Прикладні фінанси, Права дитини, Права дитини у вільній країні, Харківщинознавство).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Symbol" w:hAnsi="Symbol" w:cs="Symbol"/>
          <w:color w:val="000000"/>
          <w:sz w:val="24"/>
          <w:szCs w:val="24"/>
        </w:rPr>
        <w:t>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 проведення групових та індивідуальних занять, консультацій, що проводяться для окремих учнів чи груп учні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Формування варіативної складової відбувається 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ідставі побажань учнів, за навчальними програмами затвердженими Міністерством освіти і науки України.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 час розподілу варіативної складової навчального плану враховано гранично допустиме навантаження на одного учня, уроки фізичної культури при визначенні цього показника не враховувались. 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 всіх предметів інваріантної та варіативної складових навчальних планів.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Змістове наповнення предмета «Фізична культура» заклад освіти формує самостійно з варіативних модулів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ідповідно до статево-вікових особливостей учнів, їх інтересів, матеріальнотехнічної бази навчального закладу, кадрового забезпечення, регіональних та народних традицій. Через варіативні модулі можуть реалізовуватись не лише окремі види спорту,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а й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ритміка, хореографія, пластика, фітнес тощо.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Гранична наповнюваність класів та тривалість уроків встановлюються відповідно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Закону України «Про загальну середню освіту».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Поділ класів на групи при вивченні окремих предметів здійснюється відповідно до 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інтернатів), груп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 Очікувані результати навчання здобувачів освіти. Відповідно до мети та загальних цілей, окреслених у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Державному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стандарті, визначено завдання у рамках кожної освітньої галузі. Результати навчання повинні робити внесок у формування ключових компетентностей учнів.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Такі ключові компетентності, як уміння вчитися, ініціативність і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ідприємливість і фінансова грамотність»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загальнопредметних компетентностей, окремих предметі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предметних циклів; їх необхідно враховувати при формуванні шкільного середовища.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Навчання за наскрізними лініями реалізується насамперед через: організацію навчального середовища — змі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та цілі наскрізних тем враховуються при формуванні духовного, соціального і фізичного середовища навчання; окремі предмети —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проекти.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 предмети за вибором; роботу в проектах; позакласну навчальну роботу і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роботу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гуртків.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ізних видів педагогічно доцільної активної навчально-пізнавальної діяльності, а також практична його спрямованість.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інформаційних, операційнодіяльнісних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 Учні набувають досвіду застосування знань на практиці та перенесення їх 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нов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 ситуації.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Базова середня освіта здобувається, як правило,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ісля здобуття початкової освіти. Діти, які здобули початкову освіту на 1 вересня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поточного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навчального року повинні розпочинати здобуття базової середньої освіти цього ж навчального року.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Типову освітню програму укладено за такими освітніми галузями: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Мови і літератури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Суспільствознавство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Мистецтво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Математика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Природознавство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Технології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Здоров’я і фізична культура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Навчальні плани основної школи передбачають реалізацію освітніх галузей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навчального плану Державного стандарту через окремі предмети. Освітня галузь мови і літератури у навчальних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планах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реалізується через окремі предмети "Українська мова", 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>"Українська література", "Іноземна мова (англійська)", «Зарубіжна література». В межах галузі «Суспільствознавство» у 5-му класі вивчається курс «Історія України (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Вступ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до історії)», у 6-му класі – інтегрований курс «Всесвітня історія. Історія України».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Освітня галузь «Мистецтво» реалізується через окремі курси: «Музичне мистецтво» та «Образотворче мистецтво» в 5-7 класах та «Мистецтво» у 8-9 класах.</w:t>
      </w:r>
    </w:p>
    <w:p w:rsidR="00931229" w:rsidRPr="00C533A1" w:rsidRDefault="00931229" w:rsidP="00931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Нормативно-правове забезпечення:</w:t>
      </w:r>
    </w:p>
    <w:p w:rsidR="00931229" w:rsidRPr="00C533A1" w:rsidRDefault="00931229" w:rsidP="0093122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Типова освітня програма закладів загальної середньої освіти ІІ ступеня, затверджена наказом Міністерства освіти і науки України від 20.04.2018 року № 405;</w:t>
      </w:r>
    </w:p>
    <w:tbl>
      <w:tblPr>
        <w:tblpPr w:leftFromText="180" w:rightFromText="180" w:vertAnchor="text"/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33"/>
        <w:gridCol w:w="2816"/>
        <w:gridCol w:w="994"/>
        <w:gridCol w:w="996"/>
        <w:gridCol w:w="996"/>
        <w:gridCol w:w="996"/>
        <w:gridCol w:w="994"/>
      </w:tblGrid>
      <w:tr w:rsidR="00931229" w:rsidRPr="00C533A1" w:rsidTr="003C60FE">
        <w:trPr>
          <w:tblHeader/>
        </w:trPr>
        <w:tc>
          <w:tcPr>
            <w:tcW w:w="103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 галузі</w:t>
            </w:r>
          </w:p>
        </w:tc>
        <w:tc>
          <w:tcPr>
            <w:tcW w:w="14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</w:p>
        </w:tc>
        <w:tc>
          <w:tcPr>
            <w:tcW w:w="253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годин на тиждень у класах</w:t>
            </w:r>
          </w:p>
        </w:tc>
      </w:tr>
      <w:tr w:rsidR="00931229" w:rsidRPr="00C533A1" w:rsidTr="003C60FE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31229" w:rsidRPr="00C533A1" w:rsidTr="003C60FE">
        <w:tc>
          <w:tcPr>
            <w:tcW w:w="103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 і літератури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229" w:rsidRPr="00C533A1" w:rsidTr="003C60FE">
        <w:trPr>
          <w:trHeight w:val="714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 мова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229" w:rsidRPr="00C533A1" w:rsidTr="003C60FE">
        <w:tc>
          <w:tcPr>
            <w:tcW w:w="103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Суспільство-знавство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правознавства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1229" w:rsidRPr="00C533A1" w:rsidTr="003C60FE">
        <w:tc>
          <w:tcPr>
            <w:tcW w:w="103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Мистецтво*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1229" w:rsidRPr="00C533A1" w:rsidTr="003C60FE">
        <w:tc>
          <w:tcPr>
            <w:tcW w:w="103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229" w:rsidRPr="00C533A1" w:rsidTr="003C60FE">
        <w:tc>
          <w:tcPr>
            <w:tcW w:w="103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іологія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229" w:rsidRPr="00C533A1" w:rsidTr="003C60FE">
        <w:tc>
          <w:tcPr>
            <w:tcW w:w="103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229" w:rsidRPr="00C533A1" w:rsidTr="003C60FE">
        <w:tc>
          <w:tcPr>
            <w:tcW w:w="103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здоров’я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1229" w:rsidRPr="00C533A1" w:rsidTr="003C60F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культура**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1229" w:rsidRPr="00C533A1" w:rsidTr="003C60FE">
        <w:tc>
          <w:tcPr>
            <w:tcW w:w="2467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23,5+3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26,5+3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28+3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28,5+3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30+3</w:t>
            </w:r>
          </w:p>
        </w:tc>
      </w:tr>
      <w:tr w:rsidR="00931229" w:rsidRPr="00C533A1" w:rsidTr="003C60FE">
        <w:tc>
          <w:tcPr>
            <w:tcW w:w="2467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29" w:rsidRPr="00C533A1" w:rsidRDefault="00931229" w:rsidP="006026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31229" w:rsidRPr="00C533A1" w:rsidTr="003C60FE">
        <w:tc>
          <w:tcPr>
            <w:tcW w:w="2467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229" w:rsidRPr="00C533A1" w:rsidRDefault="00931229" w:rsidP="006026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602665" w:rsidRDefault="00602665" w:rsidP="006026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229" w:rsidRPr="00C533A1" w:rsidRDefault="00931229" w:rsidP="00602665">
      <w:pPr>
        <w:spacing w:after="0" w:line="240" w:lineRule="auto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Освітня програма 10-11 класів (</w:t>
      </w:r>
      <w:proofErr w:type="gramStart"/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ільна середня освіта)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Освітня програма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ільної середньої освіти окреслює рекомендовані підходи до планування й організації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Загальний обсяг навчального навантаження здобувачів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ільної середньої освіти для 10-11-х класів складає 2660 годин/навчальний рік: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10-х класів – 1330 годин/навчальний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ік,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для 11-х класів – 1330 годин/навчальний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ік.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Детальний розподіл навчального навантаження на тиждень окреслено у навчальному плані.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ідсумкову атестацію на 1 вересня поточного навчального року повинні розпочинати здобуття профільної середньої освіти цього ж навчального року.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Перелі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к осв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ітніх галузей. Типову освітню програму укладено за такими освітніми галузями: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Мови і літератури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Суспільствознавство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Мистецтво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Математика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Природознавство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Технології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Здоров’я і фізична культура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Логічна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ідовність вивчення предметів розкривається у відповідних навчальних програмах.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За модульним принципом реалізується змі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базового предмета «Фізика і астрономія».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такому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разі розподіл годин між модулем фізики і модулем астрономії здійснюється відповідно до навчальних програм.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Реалізація змісту освіти, визначеного Державним стандартом, також забезпечується вибірково-обов’язковими предметами («Інформатика», «Технології», «Мистецтво»)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профілю навчання реалізується системою окремих предметів і курсів: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- базові та вибірково-обов’язкові предмети, що вивчаються на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івні стандарту;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ільні предмети ;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- курси за вибором, до яких належать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іальні і факультативні курси.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ішення про розподіл годин для формування відповідного профілю навчання прийнято з урахуванням освітніх потреб учнів, регіональних особливостей, кадрового забезпечення, матеріально-технічної бази тощо.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Кількість годин для вивчення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ільного предмета складається з кількості годин, відведених навчальним планом закладу освіти на вивчення відповідних базових предметів, і кількості годин, передбачених на профільні предмети; Залишок навчальних годин, передбачених на вивчення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ільних предметів, використано для збільшення кількості годин на вивчення базових предметів з урахуванням потреб учнів.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Очікувані результати навчання здобувачів освіти окреслені у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Державному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стандарті, Результати навчання повинні робити внесок у формування ключових компетентностей учнів.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ізних видів педагогічно доцільної активної навчально-пізнавальної діяльності, а також практична його спрямованість. 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 Формуванню ключових компетентностей сприяє встановлення та реалізація в освітньому процесі міжпредметних і внутрішньопредметних зв’язкі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, а саме: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змістов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інформаційних,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операційно-діяльнісних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організаційно-методичних.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Їх використання посилює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Учні набувають досвіду застосування знань на практиці та перенесення їх 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нов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 ситуації.</w:t>
      </w:r>
    </w:p>
    <w:p w:rsidR="00542456" w:rsidRDefault="00931229" w:rsidP="00542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Нормативно-правове забезпечення:</w:t>
      </w:r>
    </w:p>
    <w:p w:rsidR="00542456" w:rsidRPr="00542456" w:rsidRDefault="00931229" w:rsidP="0054245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Типова освітня програма закладів загальної середньої освіти ІІІ ступеня, затверджена наказом Міністерства освіти і науки Ук</w:t>
      </w:r>
      <w:r w:rsidR="00542456">
        <w:rPr>
          <w:rFonts w:ascii="Times New Roman" w:hAnsi="Times New Roman" w:cs="Times New Roman"/>
          <w:color w:val="000000"/>
          <w:sz w:val="24"/>
          <w:szCs w:val="24"/>
        </w:rPr>
        <w:t>раїни від 20.04.2018 року № 408</w:t>
      </w:r>
      <w:r w:rsidR="0054245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31229" w:rsidRPr="00C533A1" w:rsidRDefault="00931229" w:rsidP="00931229">
      <w:pPr>
        <w:spacing w:after="0" w:line="240" w:lineRule="auto"/>
        <w:ind w:left="709"/>
        <w:jc w:val="right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Типова освітня програма </w:t>
      </w:r>
    </w:p>
    <w:p w:rsidR="00931229" w:rsidRPr="00C533A1" w:rsidRDefault="00931229" w:rsidP="00931229">
      <w:pPr>
        <w:spacing w:after="0" w:line="240" w:lineRule="auto"/>
        <w:ind w:left="709"/>
        <w:jc w:val="right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закладів загальної середньої освіти ІІІ ступеня,</w:t>
      </w:r>
    </w:p>
    <w:p w:rsidR="00931229" w:rsidRPr="00C533A1" w:rsidRDefault="00931229" w:rsidP="00931229">
      <w:pPr>
        <w:spacing w:after="0" w:line="240" w:lineRule="auto"/>
        <w:ind w:left="709"/>
        <w:jc w:val="right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затверджена наказом Міністерства освіти і науки України</w:t>
      </w:r>
    </w:p>
    <w:p w:rsidR="00931229" w:rsidRPr="00C533A1" w:rsidRDefault="00931229" w:rsidP="00931229">
      <w:pPr>
        <w:spacing w:after="0" w:line="240" w:lineRule="auto"/>
        <w:ind w:left="709"/>
        <w:jc w:val="right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від 20.04.2018 року № 408; </w:t>
      </w:r>
    </w:p>
    <w:p w:rsidR="00931229" w:rsidRPr="00C533A1" w:rsidRDefault="00931229" w:rsidP="0093122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Таблиця 2 до Типової освітньої програми) </w:t>
      </w: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138"/>
        <w:gridCol w:w="1843"/>
        <w:gridCol w:w="1843"/>
      </w:tblGrid>
      <w:tr w:rsidR="00931229" w:rsidRPr="00C533A1" w:rsidTr="003C60FE">
        <w:trPr>
          <w:cantSplit/>
        </w:trPr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31229" w:rsidRPr="00C533A1" w:rsidRDefault="00931229" w:rsidP="00602665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1229" w:rsidRPr="00C533A1" w:rsidRDefault="00931229" w:rsidP="00602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Базові предмети</w:t>
            </w: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 (29)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 (28)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і література корінного народу, національної меншини</w:t>
            </w: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843" w:type="dxa"/>
            <w:shd w:val="clear" w:color="auto" w:fill="FFFFFF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3F3F3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931229" w:rsidRPr="00C533A1" w:rsidTr="003C60FE">
        <w:trPr>
          <w:cantSplit/>
          <w:trHeight w:val="500"/>
        </w:trPr>
        <w:tc>
          <w:tcPr>
            <w:tcW w:w="6138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Вибірково-обов’язкові предмети</w:t>
            </w: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843" w:type="dxa"/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931229" w:rsidRPr="00C533A1" w:rsidTr="003C60FE">
        <w:trPr>
          <w:cantSplit/>
          <w:trHeight w:val="807"/>
        </w:trPr>
        <w:tc>
          <w:tcPr>
            <w:tcW w:w="6138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Додаткові години</w:t>
            </w: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 xml:space="preserve"> 1</w:t>
            </w: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00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 (6)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 (7)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  <w:tr w:rsidR="00931229" w:rsidRPr="00C533A1" w:rsidTr="003C60FE">
        <w:trPr>
          <w:cantSplit/>
        </w:trPr>
        <w:tc>
          <w:tcPr>
            <w:tcW w:w="6138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фінансується </w:t>
            </w: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1229" w:rsidRPr="00C533A1" w:rsidRDefault="00931229" w:rsidP="006026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</w:tbl>
    <w:p w:rsidR="00602665" w:rsidRDefault="00602665" w:rsidP="00602665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931229" w:rsidRPr="00C533A1" w:rsidRDefault="00931229" w:rsidP="00602665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C533A1">
        <w:rPr>
          <w:rFonts w:ascii="Times New Roman" w:hAnsi="Times New Roman" w:cs="Times New Roman"/>
          <w:sz w:val="24"/>
          <w:szCs w:val="24"/>
          <w:lang w:val="uk-UA"/>
        </w:rPr>
        <w:t>У дужках подано кількість годин для закладів освіти з навчанням мовою корінного народу, національної меншини.</w:t>
      </w:r>
    </w:p>
    <w:p w:rsidR="00931229" w:rsidRPr="00C533A1" w:rsidRDefault="00931229" w:rsidP="00602665">
      <w:pPr>
        <w:ind w:left="142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533A1">
        <w:rPr>
          <w:rFonts w:ascii="Times New Roman" w:hAnsi="Times New Roman" w:cs="Times New Roman"/>
          <w:sz w:val="24"/>
          <w:szCs w:val="24"/>
          <w:lang w:val="uk-UA"/>
        </w:rPr>
        <w:t xml:space="preserve"> За наявності належних умов заклад освіти може збільшувати кількість годин на вивчення іноземної мови, використовуючи додаткові години.</w:t>
      </w:r>
    </w:p>
    <w:p w:rsidR="00931229" w:rsidRPr="00C533A1" w:rsidRDefault="00931229" w:rsidP="00602665">
      <w:pPr>
        <w:ind w:left="142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C533A1">
        <w:rPr>
          <w:rFonts w:ascii="Times New Roman" w:hAnsi="Times New Roman" w:cs="Times New Roman"/>
          <w:sz w:val="24"/>
          <w:szCs w:val="24"/>
          <w:lang w:val="uk-UA"/>
        </w:rPr>
        <w:t xml:space="preserve"> Мова і література корінного народу, національної меншини входить до базових предметів лише для закладів освіти з навчанням мовою, корінного народу, національної меншини. В інших закладах освіти цей предмет може обиратися за потреби самим учнем за рахунок додаткових годин. </w:t>
      </w:r>
    </w:p>
    <w:p w:rsidR="00931229" w:rsidRPr="00C533A1" w:rsidRDefault="00931229" w:rsidP="00602665">
      <w:pPr>
        <w:ind w:left="142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3A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lastRenderedPageBreak/>
        <w:t>4</w:t>
      </w:r>
      <w:r w:rsidRPr="00C533A1">
        <w:rPr>
          <w:rFonts w:ascii="Times New Roman" w:hAnsi="Times New Roman" w:cs="Times New Roman"/>
          <w:sz w:val="24"/>
          <w:szCs w:val="24"/>
          <w:lang w:val="uk-UA"/>
        </w:rPr>
        <w:t xml:space="preserve"> Години фізичної культури не входять до гранично допустимого тижневого навантаження на учня.</w:t>
      </w:r>
    </w:p>
    <w:p w:rsidR="00931229" w:rsidRPr="00C533A1" w:rsidRDefault="00931229" w:rsidP="00931229">
      <w:pPr>
        <w:spacing w:line="240" w:lineRule="auto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5 Особливості організації освітнього процесу та застосовування в ньому педагогічних технологій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іальні перетворення в українському суспільстві докорінно змінили пріоритети в галузі освіти. Школа потребує нових нетрадиційних ідей, теорій, що відповідали б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оптимальному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розвитку дитини, сучасним потребам людства. Створення ситуації успіху, сприятливих умов для повноцінної діяльності кожної дитини – основна мета, що покладена в основу технологій навчання. Незважаючи на розмаїття нововведень, основною формою організації навчальної діяльності залишається урок.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Основними формами організації освітнього процесу є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ізні типи уроку: формування компетентностей; розвитку компетентностей; перевірки та/або оцінювання досягнення компетентностей; корекції основних компетентностей; комбінований урок.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Також передбачені екскурсії, віртуальні подорожі, уроки-семінари, лекції конференції, форуми, спектаклі, брифінги, квести, інтерактивні уроки (урок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«суди», урок-дискусійна група, уроки з навчанням одних учнів іншими), інтегровані уроки, проблемний урок, відео-уроки, пресконференції, ділові ігри тощо. Вибі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форм і методів навчання вчитель визначає самостійно, забезпечуючи досягнення очікуваних результатів, зазначених у навчальних програмах з предмету. Перевірка та оцінювання досягнення компетентностей здійснюватися у формі заліку, співбесіди,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контрольного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навчально-практичного заняття. Для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ідготовки до заліків та іспитів проводяться оглядові консультацій, які допомагають учням зорієнтуватися у змісті окремих предметів.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У закладі впроваджуються інформаційно-комуні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катив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 технологій. Застосування ІКТ в освітньому процесі базується на загальному розумінні зміни ролі інформації та принципах інформаційної взаємодії 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ізних напрямках освітньої діяльності Це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конкурентоздатними та впевненими особистостями. 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>Серед використовуваних засобів: мультимедійні презентації, мультимедійні карти, проекти, онлайн-тести, програмовані засоби навчення та інше. </w:t>
      </w:r>
    </w:p>
    <w:p w:rsidR="00931229" w:rsidRPr="00C533A1" w:rsidRDefault="00931229" w:rsidP="00931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Вчителі не тільки самі активно використовувують інтернет-ресурси, сучасні інформаційні технології,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але й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забезпечують їх активне використання учнями. Тому створення вчителями персональних предметних сайтів є однією з важливих форм роботи сучасного вчителя, є поштовхом для подальшого освоєння нових сучасних веб-ресурсів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ідповідно до вимог ІКкомпетентності, що важливо у процесі модернізації навчання в сучасній школі.</w:t>
      </w:r>
    </w:p>
    <w:p w:rsidR="00931229" w:rsidRDefault="00931229" w:rsidP="00931229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:rsidR="00931229" w:rsidRPr="00C533A1" w:rsidRDefault="00931229" w:rsidP="00931229">
      <w:pPr>
        <w:spacing w:line="240" w:lineRule="auto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6 Показники (вимірники) реалізації освітньої програми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>івень реалізації освітньої програми вивчається шляхом моніторингу якості проведення навчальних занять, моніторингу досягнення учнями результатів навчання (компетентностей); проведення контрольних випробувань учнів; участі учнів школи у предметних олімпіадах різного рівня, Всеукраїнських інтелектуальних конкурсах та турнірах; шляхом складання та захисту наукових проектів та участі в роботі МАН; аналізу результатів участі учні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у ДПА і ЗНО.</w:t>
      </w:r>
    </w:p>
    <w:p w:rsidR="00931229" w:rsidRPr="00C533A1" w:rsidRDefault="00931229" w:rsidP="009312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229" w:rsidRPr="00C533A1" w:rsidRDefault="00931229" w:rsidP="009312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C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7 Програмно-методичне забезпечення освітньої програми</w:t>
      </w:r>
    </w:p>
    <w:p w:rsidR="00865242" w:rsidRPr="00931229" w:rsidRDefault="00931229" w:rsidP="00602665">
      <w:pPr>
        <w:spacing w:after="0" w:line="240" w:lineRule="auto"/>
        <w:jc w:val="both"/>
        <w:rPr>
          <w:lang w:val="uk-UA"/>
        </w:rPr>
      </w:pPr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Для виконання освітніх програм школи на 2020/2021 навчальний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ік передбачено використання, затверджених Міністерством освіти і науки України, навчальних програм з усіх предметів інваріативної частини; курсів за вибором і факультативів варіативної </w:t>
      </w:r>
      <w:r w:rsidRPr="00C533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складової, що забезпечує інтеграцію загальноосвітніх (основних і додаткових) програм, 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є</w:t>
      </w:r>
      <w:proofErr w:type="gramStart"/>
      <w:r w:rsidRPr="00C533A1">
        <w:rPr>
          <w:rFonts w:ascii="Times New Roman" w:hAnsi="Times New Roman" w:cs="Times New Roman"/>
          <w:color w:val="000000"/>
          <w:sz w:val="24"/>
          <w:szCs w:val="24"/>
        </w:rPr>
        <w:t>дину</w:t>
      </w:r>
      <w:proofErr w:type="gramEnd"/>
      <w:r w:rsidRPr="00C533A1">
        <w:rPr>
          <w:rFonts w:ascii="Times New Roman" w:hAnsi="Times New Roman" w:cs="Times New Roman"/>
          <w:color w:val="000000"/>
          <w:sz w:val="24"/>
          <w:szCs w:val="24"/>
        </w:rPr>
        <w:t xml:space="preserve"> освітню програму, що дозволяє одержати запланований результат освіти - "модель" випускника.</w:t>
      </w:r>
      <w:bookmarkStart w:id="0" w:name="_GoBack"/>
      <w:bookmarkEnd w:id="0"/>
    </w:p>
    <w:sectPr w:rsidR="00865242" w:rsidRPr="00931229" w:rsidSect="003C60F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B3" w:rsidRDefault="005901B3" w:rsidP="00DB5E8C">
      <w:pPr>
        <w:spacing w:after="0" w:line="240" w:lineRule="auto"/>
      </w:pPr>
      <w:r>
        <w:separator/>
      </w:r>
    </w:p>
  </w:endnote>
  <w:endnote w:type="continuationSeparator" w:id="0">
    <w:p w:rsidR="005901B3" w:rsidRDefault="005901B3" w:rsidP="00DB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65" w:rsidRDefault="00602665" w:rsidP="003C60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B3" w:rsidRDefault="005901B3" w:rsidP="00DB5E8C">
      <w:pPr>
        <w:spacing w:after="0" w:line="240" w:lineRule="auto"/>
      </w:pPr>
      <w:r>
        <w:separator/>
      </w:r>
    </w:p>
  </w:footnote>
  <w:footnote w:type="continuationSeparator" w:id="0">
    <w:p w:rsidR="005901B3" w:rsidRDefault="005901B3" w:rsidP="00DB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3338"/>
      <w:docPartObj>
        <w:docPartGallery w:val="Page Numbers (Top of Page)"/>
        <w:docPartUnique/>
      </w:docPartObj>
    </w:sdtPr>
    <w:sdtContent>
      <w:p w:rsidR="00602665" w:rsidRDefault="00602665">
        <w:pPr>
          <w:pStyle w:val="a8"/>
          <w:jc w:val="center"/>
        </w:pPr>
        <w:fldSimple w:instr=" PAGE   \* MERGEFORMAT ">
          <w:r w:rsidR="00DF1910">
            <w:rPr>
              <w:noProof/>
            </w:rPr>
            <w:t>15</w:t>
          </w:r>
        </w:fldSimple>
      </w:p>
    </w:sdtContent>
  </w:sdt>
  <w:p w:rsidR="00602665" w:rsidRDefault="006026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429"/>
    <w:multiLevelType w:val="multilevel"/>
    <w:tmpl w:val="AFD2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8032B3"/>
    <w:multiLevelType w:val="multilevel"/>
    <w:tmpl w:val="4F38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7903405"/>
    <w:multiLevelType w:val="multilevel"/>
    <w:tmpl w:val="A1B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2157BC1"/>
    <w:multiLevelType w:val="multilevel"/>
    <w:tmpl w:val="F88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7B"/>
    <w:rsid w:val="001639CF"/>
    <w:rsid w:val="00374B63"/>
    <w:rsid w:val="003C60FE"/>
    <w:rsid w:val="00406ABF"/>
    <w:rsid w:val="00542456"/>
    <w:rsid w:val="005901B3"/>
    <w:rsid w:val="00602665"/>
    <w:rsid w:val="00865242"/>
    <w:rsid w:val="00931229"/>
    <w:rsid w:val="00A2527B"/>
    <w:rsid w:val="00A849BB"/>
    <w:rsid w:val="00BA25AE"/>
    <w:rsid w:val="00D73929"/>
    <w:rsid w:val="00DB5E8C"/>
    <w:rsid w:val="00DF1910"/>
    <w:rsid w:val="00E31090"/>
    <w:rsid w:val="00F1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semiHidden/>
    <w:rsid w:val="00931229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footer"/>
    <w:basedOn w:val="a"/>
    <w:link w:val="a5"/>
    <w:uiPriority w:val="99"/>
    <w:rsid w:val="00931229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1229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uiPriority w:val="99"/>
    <w:rsid w:val="00931229"/>
  </w:style>
  <w:style w:type="table" w:styleId="a7">
    <w:name w:val="Table Grid"/>
    <w:basedOn w:val="a1"/>
    <w:uiPriority w:val="59"/>
    <w:rsid w:val="003C60FE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929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semiHidden/>
    <w:rsid w:val="00931229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footer"/>
    <w:basedOn w:val="a"/>
    <w:link w:val="a5"/>
    <w:uiPriority w:val="99"/>
    <w:rsid w:val="00931229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1229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uiPriority w:val="99"/>
    <w:rsid w:val="00931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2020-08-12T04:23:00Z</cp:lastPrinted>
  <dcterms:created xsi:type="dcterms:W3CDTF">2020-07-01T08:43:00Z</dcterms:created>
  <dcterms:modified xsi:type="dcterms:W3CDTF">2020-08-12T04:27:00Z</dcterms:modified>
</cp:coreProperties>
</file>